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231E05" w:rsidRDefault="00692B79" w:rsidP="00692B79">
      <w:pPr>
        <w:rPr>
          <w:rFonts w:ascii="Arial" w:hAnsi="Arial" w:cs="Arial"/>
        </w:rPr>
      </w:pPr>
      <w:r w:rsidRPr="00231E05">
        <w:rPr>
          <w:rFonts w:ascii="Arial" w:hAnsi="Arial" w:cs="Arial"/>
        </w:rPr>
        <w:t xml:space="preserve">Pressemitteilung </w:t>
      </w:r>
    </w:p>
    <w:p w14:paraId="7DFAD283" w14:textId="2FF4CF5B" w:rsidR="00692B79" w:rsidRPr="00231E05" w:rsidRDefault="00692B79" w:rsidP="00692B79">
      <w:pPr>
        <w:rPr>
          <w:rFonts w:ascii="Arial" w:hAnsi="Arial" w:cs="Arial"/>
        </w:rPr>
      </w:pPr>
      <w:r w:rsidRPr="00231E05">
        <w:rPr>
          <w:rFonts w:ascii="Arial" w:hAnsi="Arial" w:cs="Arial"/>
        </w:rPr>
        <w:t xml:space="preserve">Nr. </w:t>
      </w:r>
      <w:r w:rsidR="00F85CA6">
        <w:rPr>
          <w:rFonts w:ascii="Arial" w:hAnsi="Arial" w:cs="Arial"/>
        </w:rPr>
        <w:t>6</w:t>
      </w:r>
      <w:r w:rsidR="00C84CFE">
        <w:rPr>
          <w:rFonts w:ascii="Arial" w:hAnsi="Arial" w:cs="Arial"/>
        </w:rPr>
        <w:t>74</w:t>
      </w:r>
      <w:r w:rsidR="00F425CE">
        <w:rPr>
          <w:rFonts w:ascii="Arial" w:hAnsi="Arial" w:cs="Arial"/>
        </w:rPr>
        <w:t>d</w:t>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sz w:val="20"/>
          <w:szCs w:val="20"/>
        </w:rPr>
        <w:t xml:space="preserve"> </w:t>
      </w:r>
    </w:p>
    <w:p w14:paraId="1A6AF8D5" w14:textId="77777777" w:rsidR="00692B79" w:rsidRPr="00231E05" w:rsidRDefault="00692B79" w:rsidP="00692B79">
      <w:pPr>
        <w:spacing w:line="360" w:lineRule="auto"/>
        <w:rPr>
          <w:rFonts w:ascii="Arial" w:hAnsi="Arial" w:cs="Arial"/>
          <w:b/>
          <w:sz w:val="28"/>
          <w:szCs w:val="28"/>
          <w:lang w:eastAsia="en-US"/>
        </w:rPr>
      </w:pPr>
    </w:p>
    <w:p w14:paraId="4F6B7356" w14:textId="77777777" w:rsidR="00C84CFE" w:rsidRPr="00C84CFE" w:rsidRDefault="00C84CFE" w:rsidP="00C84CFE">
      <w:pPr>
        <w:pStyle w:val="StandardWeb"/>
        <w:spacing w:line="360" w:lineRule="auto"/>
        <w:rPr>
          <w:rFonts w:ascii="Arial" w:hAnsi="Arial" w:cs="Arial"/>
          <w:b/>
          <w:bCs/>
          <w:sz w:val="32"/>
          <w:szCs w:val="32"/>
        </w:rPr>
      </w:pPr>
      <w:r w:rsidRPr="00C84CFE">
        <w:rPr>
          <w:rFonts w:ascii="Arial" w:hAnsi="Arial" w:cs="Arial"/>
          <w:b/>
          <w:bCs/>
          <w:sz w:val="32"/>
          <w:szCs w:val="32"/>
        </w:rPr>
        <w:t>Mehr Flexibilität für konfokale Präzisionsmessungen</w:t>
      </w:r>
    </w:p>
    <w:p w14:paraId="0B281ED5" w14:textId="77777777" w:rsidR="00C84CFE" w:rsidRDefault="00C84CFE" w:rsidP="00B5298E">
      <w:pPr>
        <w:pStyle w:val="StandardWeb"/>
        <w:spacing w:line="360" w:lineRule="auto"/>
        <w:rPr>
          <w:rFonts w:ascii="Arial" w:hAnsi="Arial" w:cs="Arial"/>
          <w:b/>
          <w:sz w:val="22"/>
          <w:szCs w:val="22"/>
        </w:rPr>
      </w:pPr>
      <w:proofErr w:type="spellStart"/>
      <w:r w:rsidRPr="00C84CFE">
        <w:rPr>
          <w:rFonts w:ascii="Arial" w:hAnsi="Arial" w:cs="Arial"/>
          <w:b/>
          <w:sz w:val="22"/>
          <w:szCs w:val="22"/>
        </w:rPr>
        <w:t>Micro-Epsilon</w:t>
      </w:r>
      <w:proofErr w:type="spellEnd"/>
      <w:r w:rsidRPr="00C84CFE">
        <w:rPr>
          <w:rFonts w:ascii="Arial" w:hAnsi="Arial" w:cs="Arial"/>
          <w:b/>
          <w:sz w:val="22"/>
          <w:szCs w:val="22"/>
        </w:rPr>
        <w:t xml:space="preserve"> erweitert die </w:t>
      </w:r>
      <w:proofErr w:type="spellStart"/>
      <w:r w:rsidRPr="00C84CFE">
        <w:rPr>
          <w:rFonts w:ascii="Arial" w:hAnsi="Arial" w:cs="Arial"/>
          <w:b/>
          <w:sz w:val="22"/>
          <w:szCs w:val="22"/>
        </w:rPr>
        <w:t>confocalDT</w:t>
      </w:r>
      <w:proofErr w:type="spellEnd"/>
      <w:r w:rsidRPr="00C84CFE">
        <w:rPr>
          <w:rFonts w:ascii="Arial" w:hAnsi="Arial" w:cs="Arial"/>
          <w:b/>
          <w:sz w:val="22"/>
          <w:szCs w:val="22"/>
        </w:rPr>
        <w:t xml:space="preserve"> Sensorfamilie um neue IFS2404-Sensoren für präzise, berührungslose Abstandsmessungen. Mit zusätzlichen Messbereichen, großem Grundabstand und schlanken Bauformen bieten die Sensoren mehr Flexibilität in anspruchsvollen Einbausituationen.</w:t>
      </w:r>
    </w:p>
    <w:p w14:paraId="3788F3B0" w14:textId="77777777" w:rsidR="00C84CFE" w:rsidRPr="00C84CFE" w:rsidRDefault="00C84CFE" w:rsidP="00C84CFE">
      <w:pPr>
        <w:pStyle w:val="StandardWeb"/>
        <w:spacing w:line="360" w:lineRule="auto"/>
        <w:rPr>
          <w:rFonts w:ascii="Arial" w:hAnsi="Arial" w:cs="Arial"/>
          <w:bCs/>
          <w:sz w:val="22"/>
          <w:szCs w:val="22"/>
        </w:rPr>
      </w:pPr>
      <w:proofErr w:type="spellStart"/>
      <w:r w:rsidRPr="00C84CFE">
        <w:rPr>
          <w:rFonts w:ascii="Arial" w:hAnsi="Arial" w:cs="Arial"/>
          <w:bCs/>
          <w:sz w:val="22"/>
          <w:szCs w:val="22"/>
        </w:rPr>
        <w:t>Micro-Epsilon</w:t>
      </w:r>
      <w:proofErr w:type="spellEnd"/>
      <w:r w:rsidRPr="00C84CFE">
        <w:rPr>
          <w:rFonts w:ascii="Arial" w:hAnsi="Arial" w:cs="Arial"/>
          <w:bCs/>
          <w:sz w:val="22"/>
          <w:szCs w:val="22"/>
        </w:rPr>
        <w:t xml:space="preserve"> erweitert das weltweit größte Produktportfolio für konfokal-chromatische Sensorsysteme um neue Sensoren der Reihe </w:t>
      </w:r>
      <w:proofErr w:type="spellStart"/>
      <w:r w:rsidRPr="00C84CFE">
        <w:rPr>
          <w:rFonts w:ascii="Arial" w:hAnsi="Arial" w:cs="Arial"/>
          <w:bCs/>
          <w:sz w:val="22"/>
          <w:szCs w:val="22"/>
        </w:rPr>
        <w:t>confocalDT</w:t>
      </w:r>
      <w:proofErr w:type="spellEnd"/>
      <w:r w:rsidRPr="00C84CFE">
        <w:rPr>
          <w:rFonts w:ascii="Arial" w:hAnsi="Arial" w:cs="Arial"/>
          <w:bCs/>
          <w:sz w:val="22"/>
          <w:szCs w:val="22"/>
        </w:rPr>
        <w:t xml:space="preserve"> IFS2404. Die Sensoren ermöglichen hochpräzise, berührungslose Weg- und Abstandsmessungen auf unterschiedlichsten Oberflächen – von spiegelnd über diffus bis transparent.</w:t>
      </w:r>
    </w:p>
    <w:p w14:paraId="1BF97817" w14:textId="77777777" w:rsidR="00C84CFE" w:rsidRPr="00C84CFE" w:rsidRDefault="00C84CFE" w:rsidP="00C84CFE">
      <w:pPr>
        <w:pStyle w:val="StandardWeb"/>
        <w:spacing w:line="360" w:lineRule="auto"/>
        <w:rPr>
          <w:rFonts w:ascii="Arial" w:hAnsi="Arial" w:cs="Arial"/>
          <w:bCs/>
          <w:sz w:val="22"/>
          <w:szCs w:val="22"/>
        </w:rPr>
      </w:pPr>
      <w:r w:rsidRPr="00C84CFE">
        <w:rPr>
          <w:rFonts w:ascii="Arial" w:hAnsi="Arial" w:cs="Arial"/>
          <w:b/>
          <w:bCs/>
          <w:sz w:val="22"/>
          <w:szCs w:val="22"/>
        </w:rPr>
        <w:t>Großer Grundabstand bei kompaktem Messbereich</w:t>
      </w:r>
    </w:p>
    <w:p w14:paraId="4C80BE6E" w14:textId="77777777" w:rsidR="00C84CFE" w:rsidRPr="00C84CFE" w:rsidRDefault="00C84CFE" w:rsidP="00C84CFE">
      <w:pPr>
        <w:pStyle w:val="StandardWeb"/>
        <w:spacing w:line="360" w:lineRule="auto"/>
        <w:rPr>
          <w:rFonts w:ascii="Arial" w:hAnsi="Arial" w:cs="Arial"/>
          <w:bCs/>
          <w:sz w:val="22"/>
          <w:szCs w:val="22"/>
        </w:rPr>
      </w:pPr>
      <w:r w:rsidRPr="00C84CFE">
        <w:rPr>
          <w:rFonts w:ascii="Arial" w:hAnsi="Arial" w:cs="Arial"/>
          <w:bCs/>
          <w:sz w:val="22"/>
          <w:szCs w:val="22"/>
        </w:rPr>
        <w:t xml:space="preserve">Mit dem neuen IFS2404-18 wird die IFS2404-Serie um eine Variante mit 18 mm Messbereich erweitert. Der Sensor schließt damit die Lücke zwischen den bisherigen Messbereichen 10 mm und 28 mm. Er kombiniert einen großen Grundabstand von ca. 61 mm mit einem ausreichend großen Messbereich für typische Bauteil- und Prozessschwankungen. Dadurch eignet er sich besonders für Anwendungen mit beengten Platzverhältnissen, zum Beispiel bei Füllstandsmessungen in </w:t>
      </w:r>
      <w:proofErr w:type="spellStart"/>
      <w:r w:rsidRPr="00C84CFE">
        <w:rPr>
          <w:rFonts w:ascii="Arial" w:hAnsi="Arial" w:cs="Arial"/>
          <w:bCs/>
          <w:sz w:val="22"/>
          <w:szCs w:val="22"/>
        </w:rPr>
        <w:t>Mikrotitergefäßen</w:t>
      </w:r>
      <w:proofErr w:type="spellEnd"/>
      <w:r w:rsidRPr="00C84CFE">
        <w:rPr>
          <w:rFonts w:ascii="Arial" w:hAnsi="Arial" w:cs="Arial"/>
          <w:bCs/>
          <w:sz w:val="22"/>
          <w:szCs w:val="22"/>
        </w:rPr>
        <w:t xml:space="preserve"> oder in schmalen Behältern und Öffnungen.</w:t>
      </w:r>
    </w:p>
    <w:p w14:paraId="02166505" w14:textId="77777777" w:rsidR="00C84CFE" w:rsidRPr="00C84CFE" w:rsidRDefault="00C84CFE" w:rsidP="00C84CFE">
      <w:pPr>
        <w:pStyle w:val="StandardWeb"/>
        <w:spacing w:line="360" w:lineRule="auto"/>
        <w:rPr>
          <w:rFonts w:ascii="Arial" w:hAnsi="Arial" w:cs="Arial"/>
          <w:bCs/>
          <w:sz w:val="22"/>
          <w:szCs w:val="22"/>
        </w:rPr>
      </w:pPr>
      <w:r w:rsidRPr="00C84CFE">
        <w:rPr>
          <w:rFonts w:ascii="Arial" w:hAnsi="Arial" w:cs="Arial"/>
          <w:b/>
          <w:bCs/>
          <w:sz w:val="22"/>
          <w:szCs w:val="22"/>
        </w:rPr>
        <w:t>Stabile Messwerte auch bei anspruchsvoller Geometrie</w:t>
      </w:r>
    </w:p>
    <w:p w14:paraId="257DCE2C" w14:textId="77777777" w:rsidR="00C84CFE" w:rsidRDefault="00C84CFE" w:rsidP="00C84CFE">
      <w:pPr>
        <w:pStyle w:val="StandardWeb"/>
        <w:spacing w:line="360" w:lineRule="auto"/>
        <w:rPr>
          <w:rFonts w:ascii="Arial" w:hAnsi="Arial" w:cs="Arial"/>
          <w:bCs/>
          <w:sz w:val="22"/>
          <w:szCs w:val="22"/>
        </w:rPr>
      </w:pPr>
      <w:r w:rsidRPr="00C84CFE">
        <w:rPr>
          <w:rFonts w:ascii="Arial" w:hAnsi="Arial" w:cs="Arial"/>
          <w:bCs/>
          <w:sz w:val="22"/>
          <w:szCs w:val="22"/>
        </w:rPr>
        <w:t xml:space="preserve">Ein zentraler Vorteil des IFS2404-18 liegt im optischen Design. Durch die numerische Apertur von 0,17 entsteht ein besonders schmaler Lichtkegel, der Messungen auch in schwer zugänglichen Bereichen ermöglicht. Mit einem maximalen Messwinkel von ±9° ist der Sensor zudem unempfindlicher gegenüber </w:t>
      </w:r>
      <w:proofErr w:type="spellStart"/>
      <w:r w:rsidRPr="00C84CFE">
        <w:rPr>
          <w:rFonts w:ascii="Arial" w:hAnsi="Arial" w:cs="Arial"/>
          <w:bCs/>
          <w:sz w:val="22"/>
          <w:szCs w:val="22"/>
        </w:rPr>
        <w:t>Bauteilverkippungen</w:t>
      </w:r>
      <w:proofErr w:type="spellEnd"/>
      <w:r w:rsidRPr="00C84CFE">
        <w:rPr>
          <w:rFonts w:ascii="Arial" w:hAnsi="Arial" w:cs="Arial"/>
          <w:bCs/>
          <w:sz w:val="22"/>
          <w:szCs w:val="22"/>
        </w:rPr>
        <w:t xml:space="preserve"> </w:t>
      </w:r>
    </w:p>
    <w:p w14:paraId="56B6FD22" w14:textId="77777777" w:rsidR="00C84CFE" w:rsidRDefault="00C84CFE" w:rsidP="00C84CFE">
      <w:pPr>
        <w:pStyle w:val="StandardWeb"/>
        <w:spacing w:line="360" w:lineRule="auto"/>
        <w:rPr>
          <w:rFonts w:ascii="Arial" w:hAnsi="Arial" w:cs="Arial"/>
          <w:bCs/>
          <w:sz w:val="22"/>
          <w:szCs w:val="22"/>
        </w:rPr>
      </w:pPr>
    </w:p>
    <w:p w14:paraId="0ECF17E3" w14:textId="77777777" w:rsidR="00C84CFE" w:rsidRDefault="00C84CFE" w:rsidP="00C84CFE">
      <w:pPr>
        <w:pStyle w:val="StandardWeb"/>
        <w:spacing w:line="360" w:lineRule="auto"/>
        <w:rPr>
          <w:rFonts w:ascii="Arial" w:hAnsi="Arial" w:cs="Arial"/>
          <w:bCs/>
          <w:sz w:val="22"/>
          <w:szCs w:val="22"/>
        </w:rPr>
      </w:pPr>
    </w:p>
    <w:p w14:paraId="302E293D" w14:textId="4519EE13" w:rsidR="00C84CFE" w:rsidRPr="00C84CFE" w:rsidRDefault="00C84CFE" w:rsidP="00C84CFE">
      <w:pPr>
        <w:pStyle w:val="StandardWeb"/>
        <w:spacing w:line="360" w:lineRule="auto"/>
        <w:rPr>
          <w:rFonts w:ascii="Arial" w:hAnsi="Arial" w:cs="Arial"/>
          <w:bCs/>
          <w:sz w:val="22"/>
          <w:szCs w:val="22"/>
        </w:rPr>
      </w:pPr>
      <w:r w:rsidRPr="00C84CFE">
        <w:rPr>
          <w:rFonts w:ascii="Arial" w:hAnsi="Arial" w:cs="Arial"/>
          <w:bCs/>
          <w:sz w:val="22"/>
          <w:szCs w:val="22"/>
        </w:rPr>
        <w:t xml:space="preserve">und Montageabweichungen. Das reduziert den </w:t>
      </w:r>
      <w:proofErr w:type="spellStart"/>
      <w:r w:rsidRPr="00C84CFE">
        <w:rPr>
          <w:rFonts w:ascii="Arial" w:hAnsi="Arial" w:cs="Arial"/>
          <w:bCs/>
          <w:sz w:val="22"/>
          <w:szCs w:val="22"/>
        </w:rPr>
        <w:t>Justageaufwand</w:t>
      </w:r>
      <w:proofErr w:type="spellEnd"/>
      <w:r w:rsidRPr="00C84CFE">
        <w:rPr>
          <w:rFonts w:ascii="Arial" w:hAnsi="Arial" w:cs="Arial"/>
          <w:bCs/>
          <w:sz w:val="22"/>
          <w:szCs w:val="22"/>
        </w:rPr>
        <w:t xml:space="preserve"> und sorgt für stabile Signale – auch bei leicht gekrümmten Oberflächen oder flachen Flanken.</w:t>
      </w:r>
    </w:p>
    <w:p w14:paraId="75F0DA62" w14:textId="77777777" w:rsidR="00C84CFE" w:rsidRPr="00C84CFE" w:rsidRDefault="00C84CFE" w:rsidP="00C84CFE">
      <w:pPr>
        <w:pStyle w:val="StandardWeb"/>
        <w:spacing w:line="360" w:lineRule="auto"/>
        <w:rPr>
          <w:rFonts w:ascii="Arial" w:hAnsi="Arial" w:cs="Arial"/>
          <w:bCs/>
          <w:sz w:val="22"/>
          <w:szCs w:val="22"/>
        </w:rPr>
      </w:pPr>
      <w:r w:rsidRPr="00C84CFE">
        <w:rPr>
          <w:rFonts w:ascii="Arial" w:hAnsi="Arial" w:cs="Arial"/>
          <w:b/>
          <w:bCs/>
          <w:sz w:val="22"/>
          <w:szCs w:val="22"/>
        </w:rPr>
        <w:t>Weitere Sensorvarianten für flexible Integration</w:t>
      </w:r>
    </w:p>
    <w:p w14:paraId="77F53F36" w14:textId="53BED70B" w:rsidR="00B5298E" w:rsidRPr="00C84CFE" w:rsidRDefault="00C84CFE" w:rsidP="00C84CFE">
      <w:pPr>
        <w:pStyle w:val="StandardWeb"/>
        <w:spacing w:line="360" w:lineRule="auto"/>
        <w:rPr>
          <w:rFonts w:ascii="Arial" w:hAnsi="Arial" w:cs="Arial"/>
          <w:bCs/>
          <w:sz w:val="22"/>
          <w:szCs w:val="22"/>
        </w:rPr>
      </w:pPr>
      <w:r w:rsidRPr="00C84CFE">
        <w:rPr>
          <w:rFonts w:ascii="Arial" w:hAnsi="Arial" w:cs="Arial"/>
          <w:bCs/>
          <w:sz w:val="22"/>
          <w:szCs w:val="22"/>
        </w:rPr>
        <w:t xml:space="preserve">Neben dem neuen IFS2404-18 erweitert </w:t>
      </w:r>
      <w:proofErr w:type="spellStart"/>
      <w:r w:rsidRPr="00C84CFE">
        <w:rPr>
          <w:rFonts w:ascii="Arial" w:hAnsi="Arial" w:cs="Arial"/>
          <w:bCs/>
          <w:sz w:val="22"/>
          <w:szCs w:val="22"/>
        </w:rPr>
        <w:t>Micro-Epsilon</w:t>
      </w:r>
      <w:proofErr w:type="spellEnd"/>
      <w:r w:rsidRPr="00C84CFE">
        <w:rPr>
          <w:rFonts w:ascii="Arial" w:hAnsi="Arial" w:cs="Arial"/>
          <w:bCs/>
          <w:sz w:val="22"/>
          <w:szCs w:val="22"/>
        </w:rPr>
        <w:t xml:space="preserve"> das Portfolio um weitere Sensoren der Reihe IFS2404. Die Modelle IFS2404-1, IFS2404-3 und IFS2404-6, die bisher ausschließlich im Bundle mit dem IFD2411 erhältlich waren, sind nun einzeln verfügbar und mit allen </w:t>
      </w:r>
      <w:proofErr w:type="spellStart"/>
      <w:r w:rsidRPr="00C84CFE">
        <w:rPr>
          <w:rFonts w:ascii="Arial" w:hAnsi="Arial" w:cs="Arial"/>
          <w:bCs/>
          <w:sz w:val="22"/>
          <w:szCs w:val="22"/>
        </w:rPr>
        <w:t>confocalDT</w:t>
      </w:r>
      <w:proofErr w:type="spellEnd"/>
      <w:r w:rsidRPr="00C84CFE">
        <w:rPr>
          <w:rFonts w:ascii="Arial" w:hAnsi="Arial" w:cs="Arial"/>
          <w:bCs/>
          <w:sz w:val="22"/>
          <w:szCs w:val="22"/>
        </w:rPr>
        <w:t xml:space="preserve"> IFC-Controllern kombinierbar. Neu hinzu kommt der IFS2404-4 mit 4 mm Messbereich und schlanker, zylindrischer Bauform, der sich besonders flexibel auch bei engen Einbausituationen integrieren lässt. Das stetig wachsende Portfolio konfokal-chromatischer Sensoren und leistungsstarker IFC-Controller wird zudem im neu überarbeiteten </w:t>
      </w:r>
      <w:proofErr w:type="spellStart"/>
      <w:r w:rsidRPr="00C84CFE">
        <w:rPr>
          <w:rFonts w:ascii="Arial" w:hAnsi="Arial" w:cs="Arial"/>
          <w:bCs/>
          <w:sz w:val="22"/>
          <w:szCs w:val="22"/>
        </w:rPr>
        <w:t>confocalDT</w:t>
      </w:r>
      <w:proofErr w:type="spellEnd"/>
      <w:r w:rsidRPr="00C84CFE">
        <w:rPr>
          <w:rFonts w:ascii="Arial" w:hAnsi="Arial" w:cs="Arial"/>
          <w:bCs/>
          <w:sz w:val="22"/>
          <w:szCs w:val="22"/>
        </w:rPr>
        <w:t xml:space="preserve"> Katalog übersichtlich dargestellt.</w:t>
      </w:r>
    </w:p>
    <w:p w14:paraId="22CDE736" w14:textId="043BB9CC" w:rsidR="00AD49A1" w:rsidRDefault="00532ED4" w:rsidP="00D73B30">
      <w:pPr>
        <w:pStyle w:val="StandardWeb"/>
        <w:spacing w:line="360" w:lineRule="auto"/>
        <w:ind w:left="3540" w:firstLine="708"/>
        <w:rPr>
          <w:rFonts w:ascii="Arial" w:hAnsi="Arial" w:cs="Arial"/>
          <w:i/>
          <w:sz w:val="22"/>
          <w:szCs w:val="22"/>
          <w:lang w:eastAsia="en-US"/>
        </w:rPr>
      </w:pPr>
      <w:r w:rsidRPr="002F426A">
        <w:rPr>
          <w:rFonts w:ascii="Arial" w:hAnsi="Arial" w:cs="Arial"/>
          <w:i/>
          <w:sz w:val="22"/>
          <w:szCs w:val="22"/>
          <w:lang w:eastAsia="en-US"/>
        </w:rPr>
        <w:t xml:space="preserve">ca. </w:t>
      </w:r>
      <w:r w:rsidR="00C84CFE">
        <w:rPr>
          <w:rFonts w:ascii="Arial" w:hAnsi="Arial" w:cs="Arial"/>
          <w:i/>
          <w:sz w:val="22"/>
          <w:szCs w:val="22"/>
          <w:lang w:eastAsia="en-US"/>
        </w:rPr>
        <w:t>2</w:t>
      </w:r>
      <w:r w:rsidR="00F85CA6">
        <w:rPr>
          <w:rFonts w:ascii="Arial" w:hAnsi="Arial" w:cs="Arial"/>
          <w:i/>
          <w:sz w:val="22"/>
          <w:szCs w:val="22"/>
          <w:lang w:eastAsia="en-US"/>
        </w:rPr>
        <w:t>.</w:t>
      </w:r>
      <w:r w:rsidR="00C84CFE">
        <w:rPr>
          <w:rFonts w:ascii="Arial" w:hAnsi="Arial" w:cs="Arial"/>
          <w:i/>
          <w:sz w:val="22"/>
          <w:szCs w:val="22"/>
          <w:lang w:eastAsia="en-US"/>
        </w:rPr>
        <w:t>4</w:t>
      </w:r>
      <w:r w:rsidR="00F85CA6">
        <w:rPr>
          <w:rFonts w:ascii="Arial" w:hAnsi="Arial" w:cs="Arial"/>
          <w:i/>
          <w:sz w:val="22"/>
          <w:szCs w:val="22"/>
          <w:lang w:eastAsia="en-US"/>
        </w:rPr>
        <w:t>00</w:t>
      </w:r>
      <w:r w:rsidR="00692B79" w:rsidRPr="002F426A">
        <w:rPr>
          <w:rFonts w:ascii="Arial" w:hAnsi="Arial" w:cs="Arial"/>
          <w:i/>
          <w:sz w:val="22"/>
          <w:szCs w:val="22"/>
          <w:lang w:eastAsia="en-US"/>
        </w:rPr>
        <w:t xml:space="preserve"> Zeichen</w:t>
      </w:r>
    </w:p>
    <w:p w14:paraId="502BD5F0" w14:textId="720B78E1" w:rsidR="006256DF" w:rsidRPr="00D1726E" w:rsidRDefault="00C84CFE" w:rsidP="00937FED">
      <w:pPr>
        <w:pStyle w:val="StandardWeb"/>
        <w:spacing w:line="360" w:lineRule="auto"/>
        <w:rPr>
          <w:rFonts w:ascii="Arial" w:hAnsi="Arial" w:cs="Arial"/>
          <w:sz w:val="22"/>
          <w:szCs w:val="22"/>
          <w:shd w:val="clear" w:color="auto" w:fill="FFFFFF"/>
        </w:rPr>
      </w:pPr>
      <w:r>
        <w:rPr>
          <w:rFonts w:ascii="Arial" w:hAnsi="Arial"/>
          <w:noProof/>
          <w:sz w:val="22"/>
          <w:szCs w:val="22"/>
        </w:rPr>
        <w:drawing>
          <wp:inline distT="0" distB="0" distL="0" distR="0" wp14:anchorId="3D294407" wp14:editId="025366F5">
            <wp:extent cx="4229100" cy="2819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00C6659B" w:rsidRPr="00130FAC">
        <w:rPr>
          <w:rFonts w:ascii="Arial" w:hAnsi="Arial"/>
          <w:sz w:val="22"/>
          <w:szCs w:val="22"/>
        </w:rPr>
        <w:t xml:space="preserve"> (</w:t>
      </w:r>
      <w:r w:rsidRPr="00C84CFE">
        <w:rPr>
          <w:rFonts w:ascii="Arial" w:hAnsi="Arial" w:cs="Arial"/>
          <w:sz w:val="22"/>
          <w:szCs w:val="22"/>
          <w:shd w:val="clear" w:color="auto" w:fill="FFFFFF"/>
        </w:rPr>
        <w:t>PR674_confocalDT-IFS2404</w:t>
      </w:r>
      <w:r w:rsidR="001F1F0C" w:rsidRPr="00130FAC">
        <w:rPr>
          <w:rFonts w:ascii="Arial" w:hAnsi="Arial" w:cs="Arial"/>
          <w:sz w:val="22"/>
          <w:szCs w:val="22"/>
          <w:shd w:val="clear" w:color="auto" w:fill="FFFFFF"/>
        </w:rPr>
        <w:t>.jpg</w:t>
      </w:r>
      <w:r w:rsidR="006256DF" w:rsidRPr="00130FAC">
        <w:rPr>
          <w:rFonts w:ascii="Arial" w:hAnsi="Arial" w:cs="Arial"/>
          <w:sz w:val="22"/>
          <w:szCs w:val="22"/>
        </w:rPr>
        <w:t>)</w:t>
      </w:r>
    </w:p>
    <w:sectPr w:rsidR="006256DF" w:rsidRPr="00D1726E"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proofErr w:type="spellStart"/>
                          <w:r w:rsidRPr="00F86DF1">
                            <w:rPr>
                              <w:rFonts w:ascii="Swis721 Lt BT" w:hAnsi="Swis721 Lt BT"/>
                              <w:b/>
                              <w:sz w:val="12"/>
                              <w:szCs w:val="12"/>
                              <w:lang w:val="it-IT"/>
                            </w:rPr>
                            <w:t>Micro-Epsilon</w:t>
                          </w:r>
                          <w:proofErr w:type="spellEnd"/>
                          <w:r w:rsidRPr="00F86DF1">
                            <w:rPr>
                              <w:rFonts w:ascii="Swis721 Lt BT" w:hAnsi="Swis721 Lt BT"/>
                              <w:b/>
                              <w:sz w:val="12"/>
                              <w:szCs w:val="12"/>
                              <w:lang w:val="it-IT"/>
                            </w:rPr>
                            <w:t xml:space="preserve"> </w:t>
                          </w:r>
                          <w:proofErr w:type="spellStart"/>
                          <w:r w:rsidRPr="00F86DF1">
                            <w:rPr>
                              <w:rFonts w:ascii="Swis721 Lt BT" w:hAnsi="Swis721 Lt BT"/>
                              <w:b/>
                              <w:sz w:val="12"/>
                              <w:szCs w:val="12"/>
                              <w:lang w:val="it-IT"/>
                            </w:rPr>
                            <w:t>Messtechnik</w:t>
                          </w:r>
                          <w:proofErr w:type="spellEnd"/>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1"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C84CFE" w:rsidP="00F86DF1">
                          <w:pPr>
                            <w:pStyle w:val="Fuzeile"/>
                            <w:jc w:val="right"/>
                            <w:rPr>
                              <w:rFonts w:ascii="Swis721 Lt BT" w:hAnsi="Swis721 Lt BT"/>
                              <w:sz w:val="12"/>
                              <w:szCs w:val="12"/>
                            </w:rPr>
                          </w:pPr>
                          <w:hyperlink r:id="rId2"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proofErr w:type="spellStart"/>
                    <w:r w:rsidRPr="00F86DF1">
                      <w:rPr>
                        <w:rFonts w:ascii="Swis721 Lt BT" w:hAnsi="Swis721 Lt BT"/>
                        <w:b/>
                        <w:sz w:val="12"/>
                        <w:szCs w:val="12"/>
                        <w:lang w:val="it-IT"/>
                      </w:rPr>
                      <w:t>Micro-Epsilon</w:t>
                    </w:r>
                    <w:proofErr w:type="spellEnd"/>
                    <w:r w:rsidRPr="00F86DF1">
                      <w:rPr>
                        <w:rFonts w:ascii="Swis721 Lt BT" w:hAnsi="Swis721 Lt BT"/>
                        <w:b/>
                        <w:sz w:val="12"/>
                        <w:szCs w:val="12"/>
                        <w:lang w:val="it-IT"/>
                      </w:rPr>
                      <w:t xml:space="preserve"> </w:t>
                    </w:r>
                    <w:proofErr w:type="spellStart"/>
                    <w:r w:rsidRPr="00F86DF1">
                      <w:rPr>
                        <w:rFonts w:ascii="Swis721 Lt BT" w:hAnsi="Swis721 Lt BT"/>
                        <w:b/>
                        <w:sz w:val="12"/>
                        <w:szCs w:val="12"/>
                        <w:lang w:val="it-IT"/>
                      </w:rPr>
                      <w:t>Messtechnik</w:t>
                    </w:r>
                    <w:proofErr w:type="spellEnd"/>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3"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C84CFE" w:rsidP="00F86DF1">
                    <w:pPr>
                      <w:pStyle w:val="Fuzeile"/>
                      <w:jc w:val="right"/>
                      <w:rPr>
                        <w:rFonts w:ascii="Swis721 Lt BT" w:hAnsi="Swis721 Lt BT"/>
                        <w:sz w:val="12"/>
                        <w:szCs w:val="12"/>
                      </w:rPr>
                    </w:pPr>
                    <w:hyperlink r:id="rId4"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C84CFE"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4068504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53122"/>
    <w:rsid w:val="000644AD"/>
    <w:rsid w:val="0009715D"/>
    <w:rsid w:val="000A4B1F"/>
    <w:rsid w:val="000B5D18"/>
    <w:rsid w:val="000D6124"/>
    <w:rsid w:val="000F4917"/>
    <w:rsid w:val="00117634"/>
    <w:rsid w:val="0012781A"/>
    <w:rsid w:val="00130FAC"/>
    <w:rsid w:val="00133C8F"/>
    <w:rsid w:val="00137BD8"/>
    <w:rsid w:val="001434EE"/>
    <w:rsid w:val="00143EA4"/>
    <w:rsid w:val="001445F7"/>
    <w:rsid w:val="001520CE"/>
    <w:rsid w:val="00157476"/>
    <w:rsid w:val="00162D7B"/>
    <w:rsid w:val="001773B6"/>
    <w:rsid w:val="00181F79"/>
    <w:rsid w:val="00185BB3"/>
    <w:rsid w:val="001865CD"/>
    <w:rsid w:val="00191A69"/>
    <w:rsid w:val="001920D2"/>
    <w:rsid w:val="001A0FDB"/>
    <w:rsid w:val="001A34B7"/>
    <w:rsid w:val="001B32B5"/>
    <w:rsid w:val="001B64A1"/>
    <w:rsid w:val="001B6DB9"/>
    <w:rsid w:val="001C2B2E"/>
    <w:rsid w:val="001C6143"/>
    <w:rsid w:val="001C7910"/>
    <w:rsid w:val="001E42AC"/>
    <w:rsid w:val="001F1F0C"/>
    <w:rsid w:val="001F4101"/>
    <w:rsid w:val="00202FA9"/>
    <w:rsid w:val="002071AB"/>
    <w:rsid w:val="002133BE"/>
    <w:rsid w:val="002258F0"/>
    <w:rsid w:val="00231E05"/>
    <w:rsid w:val="00242ABA"/>
    <w:rsid w:val="00276785"/>
    <w:rsid w:val="00296AA5"/>
    <w:rsid w:val="00296B2D"/>
    <w:rsid w:val="002A3DF9"/>
    <w:rsid w:val="002B6147"/>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C5AF5"/>
    <w:rsid w:val="004D3AC7"/>
    <w:rsid w:val="004E2AB7"/>
    <w:rsid w:val="004E3C72"/>
    <w:rsid w:val="005028E2"/>
    <w:rsid w:val="005070C1"/>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1E2"/>
    <w:rsid w:val="005F1402"/>
    <w:rsid w:val="005F5115"/>
    <w:rsid w:val="006049CC"/>
    <w:rsid w:val="00610D20"/>
    <w:rsid w:val="006256DF"/>
    <w:rsid w:val="0063789F"/>
    <w:rsid w:val="006660D1"/>
    <w:rsid w:val="006732F5"/>
    <w:rsid w:val="00676DC9"/>
    <w:rsid w:val="00682299"/>
    <w:rsid w:val="00685ED1"/>
    <w:rsid w:val="00690B46"/>
    <w:rsid w:val="00691019"/>
    <w:rsid w:val="00692B79"/>
    <w:rsid w:val="006A12FD"/>
    <w:rsid w:val="006A2C70"/>
    <w:rsid w:val="006B3638"/>
    <w:rsid w:val="006B5175"/>
    <w:rsid w:val="006D1A74"/>
    <w:rsid w:val="006E5B66"/>
    <w:rsid w:val="006F0949"/>
    <w:rsid w:val="007047B1"/>
    <w:rsid w:val="00704A45"/>
    <w:rsid w:val="007075C0"/>
    <w:rsid w:val="00715E2F"/>
    <w:rsid w:val="00720300"/>
    <w:rsid w:val="00726240"/>
    <w:rsid w:val="0073128E"/>
    <w:rsid w:val="00736B2F"/>
    <w:rsid w:val="0073759E"/>
    <w:rsid w:val="00745641"/>
    <w:rsid w:val="00746FE1"/>
    <w:rsid w:val="00747E03"/>
    <w:rsid w:val="00750A2D"/>
    <w:rsid w:val="00752D1E"/>
    <w:rsid w:val="007760BE"/>
    <w:rsid w:val="00782BFF"/>
    <w:rsid w:val="00787865"/>
    <w:rsid w:val="007910F1"/>
    <w:rsid w:val="007A02DD"/>
    <w:rsid w:val="007A698A"/>
    <w:rsid w:val="007B4B67"/>
    <w:rsid w:val="007B7F3D"/>
    <w:rsid w:val="007C3D8F"/>
    <w:rsid w:val="007D5519"/>
    <w:rsid w:val="007D7754"/>
    <w:rsid w:val="007E3338"/>
    <w:rsid w:val="007E4589"/>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742"/>
    <w:rsid w:val="00AA13D5"/>
    <w:rsid w:val="00AA21D6"/>
    <w:rsid w:val="00AB035C"/>
    <w:rsid w:val="00AB2720"/>
    <w:rsid w:val="00AC1C7C"/>
    <w:rsid w:val="00AC44A8"/>
    <w:rsid w:val="00AD00A7"/>
    <w:rsid w:val="00AD49A1"/>
    <w:rsid w:val="00AD4F32"/>
    <w:rsid w:val="00AD5B8F"/>
    <w:rsid w:val="00B068B5"/>
    <w:rsid w:val="00B12615"/>
    <w:rsid w:val="00B13F83"/>
    <w:rsid w:val="00B20002"/>
    <w:rsid w:val="00B36411"/>
    <w:rsid w:val="00B40474"/>
    <w:rsid w:val="00B51196"/>
    <w:rsid w:val="00B5298E"/>
    <w:rsid w:val="00B70545"/>
    <w:rsid w:val="00B753BE"/>
    <w:rsid w:val="00B908A7"/>
    <w:rsid w:val="00B9524F"/>
    <w:rsid w:val="00BB3C44"/>
    <w:rsid w:val="00BB4D28"/>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84CFE"/>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83529"/>
    <w:rsid w:val="00F85CA6"/>
    <w:rsid w:val="00F87143"/>
    <w:rsid w:val="00F92DF7"/>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lang w:eastAsia="de-DE"/>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lang w:eastAsia="de-DE"/>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lang w:eastAsia="en-US"/>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77944690">
      <w:bodyDiv w:val="1"/>
      <w:marLeft w:val="0"/>
      <w:marRight w:val="0"/>
      <w:marTop w:val="0"/>
      <w:marBottom w:val="0"/>
      <w:divBdr>
        <w:top w:val="none" w:sz="0" w:space="0" w:color="auto"/>
        <w:left w:val="none" w:sz="0" w:space="0" w:color="auto"/>
        <w:bottom w:val="none" w:sz="0" w:space="0" w:color="auto"/>
        <w:right w:val="none" w:sz="0" w:space="0" w:color="auto"/>
      </w:divBdr>
      <w:divsChild>
        <w:div w:id="1504319106">
          <w:marLeft w:val="0"/>
          <w:marRight w:val="0"/>
          <w:marTop w:val="0"/>
          <w:marBottom w:val="0"/>
          <w:divBdr>
            <w:top w:val="none" w:sz="0" w:space="0" w:color="auto"/>
            <w:left w:val="none" w:sz="0" w:space="0" w:color="auto"/>
            <w:bottom w:val="none" w:sz="0" w:space="0" w:color="auto"/>
            <w:right w:val="none" w:sz="0" w:space="0" w:color="auto"/>
          </w:divBdr>
        </w:div>
      </w:divsChild>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60804646">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5622855">
      <w:bodyDiv w:val="1"/>
      <w:marLeft w:val="0"/>
      <w:marRight w:val="0"/>
      <w:marTop w:val="0"/>
      <w:marBottom w:val="0"/>
      <w:divBdr>
        <w:top w:val="none" w:sz="0" w:space="0" w:color="auto"/>
        <w:left w:val="none" w:sz="0" w:space="0" w:color="auto"/>
        <w:bottom w:val="none" w:sz="0" w:space="0" w:color="auto"/>
        <w:right w:val="none" w:sz="0" w:space="0" w:color="auto"/>
      </w:divBdr>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835341752">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223295162">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475487791">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56702033">
      <w:bodyDiv w:val="1"/>
      <w:marLeft w:val="0"/>
      <w:marRight w:val="0"/>
      <w:marTop w:val="0"/>
      <w:marBottom w:val="0"/>
      <w:divBdr>
        <w:top w:val="none" w:sz="0" w:space="0" w:color="auto"/>
        <w:left w:val="none" w:sz="0" w:space="0" w:color="auto"/>
        <w:bottom w:val="none" w:sz="0" w:space="0" w:color="auto"/>
        <w:right w:val="none" w:sz="0" w:space="0" w:color="auto"/>
      </w:divBdr>
      <w:divsChild>
        <w:div w:id="296645803">
          <w:marLeft w:val="0"/>
          <w:marRight w:val="0"/>
          <w:marTop w:val="0"/>
          <w:marBottom w:val="0"/>
          <w:divBdr>
            <w:top w:val="none" w:sz="0" w:space="0" w:color="auto"/>
            <w:left w:val="none" w:sz="0" w:space="0" w:color="auto"/>
            <w:bottom w:val="none" w:sz="0" w:space="0" w:color="auto"/>
            <w:right w:val="none" w:sz="0" w:space="0" w:color="auto"/>
          </w:divBdr>
        </w:div>
      </w:divsChild>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560750608">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31880671">
      <w:bodyDiv w:val="1"/>
      <w:marLeft w:val="0"/>
      <w:marRight w:val="0"/>
      <w:marTop w:val="0"/>
      <w:marBottom w:val="0"/>
      <w:divBdr>
        <w:top w:val="none" w:sz="0" w:space="0" w:color="auto"/>
        <w:left w:val="none" w:sz="0" w:space="0" w:color="auto"/>
        <w:bottom w:val="none" w:sz="0" w:space="0" w:color="auto"/>
        <w:right w:val="none" w:sz="0" w:space="0" w:color="auto"/>
      </w:divBdr>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6064875">
      <w:bodyDiv w:val="1"/>
      <w:marLeft w:val="0"/>
      <w:marRight w:val="0"/>
      <w:marTop w:val="0"/>
      <w:marBottom w:val="0"/>
      <w:divBdr>
        <w:top w:val="none" w:sz="0" w:space="0" w:color="auto"/>
        <w:left w:val="none" w:sz="0" w:space="0" w:color="auto"/>
        <w:bottom w:val="none" w:sz="0" w:space="0" w:color="auto"/>
        <w:right w:val="none" w:sz="0" w:space="0" w:color="auto"/>
      </w:divBdr>
      <w:divsChild>
        <w:div w:id="121509379">
          <w:marLeft w:val="0"/>
          <w:marRight w:val="0"/>
          <w:marTop w:val="0"/>
          <w:marBottom w:val="0"/>
          <w:divBdr>
            <w:top w:val="none" w:sz="0" w:space="0" w:color="auto"/>
            <w:left w:val="none" w:sz="0" w:space="0" w:color="auto"/>
            <w:bottom w:val="none" w:sz="0" w:space="0" w:color="auto"/>
            <w:right w:val="none" w:sz="0" w:space="0" w:color="auto"/>
          </w:divBdr>
        </w:div>
      </w:divsChild>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31502366">
      <w:bodyDiv w:val="1"/>
      <w:marLeft w:val="0"/>
      <w:marRight w:val="0"/>
      <w:marTop w:val="0"/>
      <w:marBottom w:val="0"/>
      <w:divBdr>
        <w:top w:val="none" w:sz="0" w:space="0" w:color="auto"/>
        <w:left w:val="none" w:sz="0" w:space="0" w:color="auto"/>
        <w:bottom w:val="none" w:sz="0" w:space="0" w:color="auto"/>
        <w:right w:val="none" w:sz="0" w:space="0" w:color="auto"/>
      </w:divBdr>
      <w:divsChild>
        <w:div w:id="538784748">
          <w:marLeft w:val="0"/>
          <w:marRight w:val="0"/>
          <w:marTop w:val="0"/>
          <w:marBottom w:val="0"/>
          <w:divBdr>
            <w:top w:val="none" w:sz="0" w:space="0" w:color="auto"/>
            <w:left w:val="none" w:sz="0" w:space="0" w:color="auto"/>
            <w:bottom w:val="none" w:sz="0" w:space="0" w:color="auto"/>
            <w:right w:val="none" w:sz="0" w:space="0" w:color="auto"/>
          </w:divBdr>
        </w:div>
      </w:divsChild>
    </w:div>
    <w:div w:id="1939177016">
      <w:bodyDiv w:val="1"/>
      <w:marLeft w:val="0"/>
      <w:marRight w:val="0"/>
      <w:marTop w:val="0"/>
      <w:marBottom w:val="0"/>
      <w:divBdr>
        <w:top w:val="none" w:sz="0" w:space="0" w:color="auto"/>
        <w:left w:val="none" w:sz="0" w:space="0" w:color="auto"/>
        <w:bottom w:val="none" w:sz="0" w:space="0" w:color="auto"/>
        <w:right w:val="none" w:sz="0" w:space="0" w:color="auto"/>
      </w:divBdr>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de/presse" TargetMode="External"/><Relationship Id="rId1" Type="http://schemas.openxmlformats.org/officeDocument/2006/relationships/hyperlink" Target="http://www.micro-epsilon.com" TargetMode="External"/><Relationship Id="rId4" Type="http://schemas.openxmlformats.org/officeDocument/2006/relationships/hyperlink" Target="http://www.micro-epsilon.de/presse"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~WRL0001.tmp</Template>
  <TotalTime>0</TotalTime>
  <Pages>2</Pages>
  <Words>343</Words>
  <Characters>2161</Characters>
  <Application>Microsoft Office Word</Application>
  <DocSecurity>0</DocSecurity>
  <Lines>18</Lines>
  <Paragraphs>4</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Loibl, Patrick</cp:lastModifiedBy>
  <cp:revision>44</cp:revision>
  <dcterms:created xsi:type="dcterms:W3CDTF">2025-03-20T12:09:00Z</dcterms:created>
  <dcterms:modified xsi:type="dcterms:W3CDTF">2026-05-19T06:38:00Z</dcterms:modified>
</cp:coreProperties>
</file>